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center"/>
      </w:pPr>
      <w:r>
        <w:rPr>
          <w:rFonts w:ascii="Aptos Display" w:hAnsi="Aptos Display"/>
          <w:b/>
          <w:color w:val="164E75"/>
          <w:sz w:val="38"/>
        </w:rPr>
        <w:t>MECÁNICOS</w:t>
        <w:br/>
        <w:t>LOS LAGOS</w:t>
      </w:r>
    </w:p>
    <w:p>
      <w:pPr>
        <w:spacing w:before="1000"/>
        <w:jc w:val="center"/>
      </w:pPr>
      <w:r>
        <w:rPr>
          <w:rFonts w:ascii="Aptos Display" w:hAnsi="Aptos Display"/>
          <w:b/>
          <w:color w:val="111827"/>
          <w:sz w:val="64"/>
        </w:rPr>
        <w:t>Manual de Proveedores</w:t>
      </w:r>
    </w:p>
    <w:p>
      <w:pPr>
        <w:jc w:val="center"/>
      </w:pPr>
      <w:r>
        <w:rPr>
          <w:color w:val="0E7490"/>
          <w:sz w:val="30"/>
        </w:rPr>
        <w:t>Proveedores y tiendas de repuestos</w:t>
      </w:r>
    </w:p>
    <w:p>
      <w:pPr>
        <w:spacing w:before="1100"/>
        <w:jc w:val="center"/>
      </w:pPr>
      <w:r>
        <w:rPr>
          <w:b/>
          <w:sz w:val="26"/>
        </w:rPr>
        <w:t>Guía práctica, detallada y didáctica</w:t>
      </w:r>
    </w:p>
    <w:p>
      <w:pPr>
        <w:jc w:val="center"/>
      </w:pPr>
      <w:r>
        <w:rPr>
          <w:color w:val="64748B"/>
          <w:sz w:val="18"/>
        </w:rPr>
        <w:t>Versión 1.0 · Basada en la revisión funcional 18 · Septiembre 2026</w:t>
      </w:r>
    </w:p>
    <w:p>
      <w:pPr>
        <w:spacing w:before="1500"/>
        <w:jc w:val="center"/>
      </w:pPr>
      <w:r>
        <w:rPr>
          <w:i/>
          <w:color w:val="64748B"/>
          <w:sz w:val="20"/>
        </w:rPr>
        <w:t>Documento de capacitación y consulta</w:t>
      </w:r>
    </w:p>
    <w:p>
      <w:pPr>
        <w:pStyle w:val="Heading1"/>
      </w:pPr>
      <w:r>
        <w:t>Contenido del manual</w:t>
      </w:r>
    </w:p>
    <w:p>
      <w:r>
        <w:t>Utiliza este índice como ruta de aprendizaje. Si es tu primera vez, sigue el orden propuesto; si necesitas resolver una tarea puntual, ve directamente al capítulo correspondiente.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1008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Capítulo</w:t>
            </w:r>
          </w:p>
        </w:tc>
        <w:tc>
          <w:tcPr>
            <w:tcW w:type="dxa" w:w="8784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Qué aprenderás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Rol del proveedor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2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Registro y aprobación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3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Perfil, marcas y cobertura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4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Catálogo de repuestos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5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Oportunidades de cotización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6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Cotización general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7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Solicitud directa y respuesta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8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Inventario, precio y compatibilidad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9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Coordinación de venta y despacho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10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Mensajes, reclamos y trazabilidad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11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Suscripción y pagos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12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Rutina, seguridad y soporte</w:t>
            </w:r>
          </w:p>
        </w:tc>
      </w:tr>
    </w:tbl>
    <w:p>
      <w:pPr>
        <w:spacing w:after="0"/>
      </w:pPr>
    </w:p>
    <w:p>
      <w:pPr>
        <w:pStyle w:val="Heading1"/>
      </w:pPr>
      <w:r>
        <w:t>1. Rol del proveedor</w:t>
      </w:r>
    </w:p>
    <w:p>
      <w:r>
        <w:t>El proveedor publica repuestos y responde solicitudes de clientes o talleres. Su obligación principal es informar compatibilidad, precio, stock y condiciones de entrega de manera verificable.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Responsabilidad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Catálogo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Productos actuales y correctamente identificados.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Cotizaciones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Respuestas completas, oportunas y comparables.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Stock/precio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Actualización antes de confirmar una venta.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Compatibilidad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Validación por modelo, año, motor y código de pieza.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Postventa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Condiciones de cambio, garantía y despacho claras.</w:t>
            </w:r>
          </w:p>
        </w:tc>
      </w:tr>
    </w:tbl>
    <w:p>
      <w:pPr>
        <w:spacing w:after="0"/>
      </w:pPr>
    </w:p>
    <w:p>
      <w:pPr>
        <w:pStyle w:val="Heading1"/>
      </w:pPr>
      <w:r>
        <w:t>2. Registro y aprobación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Selecciona registro de proveedor.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Completa datos del responsable, razón/nombre comercial, RUT, contacto, dirección y comuna.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Crea una contraseña robusta.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Carga antecedentes solicitados.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Envía y revisa el estado de aprobación.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No dupliques la cuenta si la revisión tarda; contacta administración.</w:t>
      </w:r>
    </w:p>
    <w:p>
      <w:pPr>
        <w:pStyle w:val="Heading1"/>
      </w:pPr>
      <w:r>
        <w:t>3. Perfil, marcas y cobertura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“Mi perfil” o Perfil de proveedor.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Actualiza nombre comercial, contacto, dirección y descripción.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Selecciona las marcas que realmente comercializas o representas.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Define comuna/cobertura con precisión.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Guarda y verifica la ficha.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9A6700"/>
              </w:rPr>
              <w:t>Marcas representadas</w:t>
            </w:r>
          </w:p>
          <w:p>
            <w:pPr>
              <w:spacing w:after="0"/>
            </w:pPr>
            <w:r>
              <w:t>Esta selección influye en las oportunidades que puedes recibir. No marques marcas sin capacidad real de suministro.</w:t>
            </w:r>
          </w:p>
        </w:tc>
      </w:tr>
    </w:tbl>
    <w:p>
      <w:pPr>
        <w:spacing w:after="0"/>
      </w:pPr>
    </w:p>
    <w:p>
      <w:pPr>
        <w:pStyle w:val="Heading1"/>
      </w:pPr>
      <w:r>
        <w:t>4. Catálogo de repuestos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la opción para publicar/guardar repuesto.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Ingresa nombre comercial y, si existe, código o número de pieza.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Indica marca de vehículo, modelo compatible, año y descripción.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Registra precio, stock y estado de publicación.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Carga una imagen clara del producto real o representativa autorizada.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Guarda y revisa cómo aparece en el mercado.</w:t>
      </w:r>
    </w:p>
    <w:p>
      <w:pPr>
        <w:pStyle w:val="Heading2"/>
      </w:pPr>
      <w:r>
        <w:t>Ficha mínima de calidad</w:t>
      </w:r>
    </w:p>
    <w:p>
      <w:r>
        <w:rPr>
          <w:b/>
        </w:rPr>
        <w:t xml:space="preserve">☐ </w:t>
      </w:r>
      <w:r>
        <w:t>Nombre específico, no solo “repuesto”.</w:t>
      </w:r>
    </w:p>
    <w:p>
      <w:r>
        <w:rPr>
          <w:b/>
        </w:rPr>
        <w:t xml:space="preserve">☐ </w:t>
      </w:r>
      <w:r>
        <w:t>Código de pieza cuando exista.</w:t>
      </w:r>
    </w:p>
    <w:p>
      <w:r>
        <w:rPr>
          <w:b/>
        </w:rPr>
        <w:t xml:space="preserve">☐ </w:t>
      </w:r>
      <w:r>
        <w:t>Marca/modelo/año compatibles.</w:t>
      </w:r>
    </w:p>
    <w:p>
      <w:r>
        <w:rPr>
          <w:b/>
        </w:rPr>
        <w:t xml:space="preserve">☐ </w:t>
      </w:r>
      <w:r>
        <w:t>Condición: nuevo, alternativo, original u otra.</w:t>
      </w:r>
    </w:p>
    <w:p>
      <w:r>
        <w:rPr>
          <w:b/>
        </w:rPr>
        <w:t xml:space="preserve">☐ </w:t>
      </w:r>
      <w:r>
        <w:t>Precio y stock actuales.</w:t>
      </w:r>
    </w:p>
    <w:p>
      <w:r>
        <w:rPr>
          <w:b/>
        </w:rPr>
        <w:t xml:space="preserve">☐ </w:t>
      </w:r>
      <w:r>
        <w:t>Garantía y despacho explicados.</w:t>
      </w:r>
    </w:p>
    <w:p>
      <w:r>
        <w:rPr>
          <w:b/>
        </w:rPr>
        <w:t xml:space="preserve">☐ </w:t>
      </w:r>
      <w:r>
        <w:t>Imagen sin datos personales.</w:t>
      </w:r>
    </w:p>
    <w:p>
      <w:pPr>
        <w:pStyle w:val="Heading1"/>
      </w:pPr>
      <w:r>
        <w:t>5. Oportunidades de cotización</w:t>
      </w:r>
    </w:p>
    <w:p>
      <w:r>
        <w:t>El panel de oportunidades muestra solicitudes generales o dirigidas que coinciden con marcas, comuna u otros criterios del sistema.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Revisa oportunidades nuevas diariamente.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Abre la solicitud y valida vehículo, pieza buscada, comuna y urgencia.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Confirma stock antes de responder.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Si falta información crítica, solicítala por el canal permitido.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Responde solo con productos compatibles o explica claramente la alternativa.</w:t>
      </w:r>
    </w:p>
    <w:p>
      <w:pPr>
        <w:pStyle w:val="Heading1"/>
      </w:pPr>
      <w:r>
        <w:t>6. Cotización general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la solicitud general.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Identifica pieza, vehículo y requerimientos.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Selecciona el producto disponible.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Indica marca/fabricante, código, condición, precio, stock y plazo.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Detalla despacho/retiro y vigencia.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Envía y conserva el número de respuesta.</w:t>
      </w:r>
    </w:p>
    <w:p>
      <w:pPr>
        <w:pStyle w:val="Heading2"/>
      </w:pPr>
      <w:r>
        <w:t>Ejemplo de respuesta</w:t>
      </w:r>
    </w:p>
    <w:p>
      <w:r>
        <w:t>“Bomba de agua alternativa marca X, código ABC-123, compatible con [modelo/año/motor indicado]. Precio unitario $____, stock 2, retiro en tienda o despacho por pagar. Garantía ____ días. Oferta válida hasta ____.”</w:t>
      </w:r>
    </w:p>
    <w:p>
      <w:pPr>
        <w:pStyle w:val="Heading1"/>
      </w:pPr>
      <w:r>
        <w:t>7. Solicitud directa y respuesta</w:t>
      </w:r>
    </w:p>
    <w:p>
      <w:r>
        <w:t>Una solicitud directa llega específicamente a tu proveedor. Atiéndela con prioridad porque el usuario eligió contactarte.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Confirma que la solicitud esté dirigida a tu local.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Revisa datos del vehículo y pieza.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Verifica stock físico y precio.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Responde mediante el formulario de venta/cotización directa.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Aclara reserva de stock, plazo de pago y retiro.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Actualiza el resultado para evitar que quede pendiente.</w:t>
      </w:r>
    </w:p>
    <w:p>
      <w:pPr>
        <w:pStyle w:val="Heading1"/>
      </w:pPr>
      <w:r>
        <w:t>8. Inventario, precio y compatibilidad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Cambio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Acción inmediata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Stock llega a 0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Cambiar a “Sin stock” o pausar.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Precio cambió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Actualizar antes de responder nuevas solicitudes.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Producto discontinuado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Pausar y ofrecer alternativa claramente identificada.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Compatibilidad dudosa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No confirmar; solicitar VIN/código/motor cuando corresponda.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Imagen incorrecta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Reemplazar para evitar confusión.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DECEC"/>
          </w:tcPr>
          <w:p>
            <w:pPr>
              <w:spacing w:after="40"/>
            </w:pPr>
            <w:r/>
            <w:r>
              <w:rPr>
                <w:b/>
                <w:color w:val="B91C1C"/>
              </w:rPr>
              <w:t>Responsabilidad técnica</w:t>
            </w:r>
          </w:p>
          <w:p>
            <w:pPr>
              <w:spacing w:after="0"/>
            </w:pPr>
            <w:r>
              <w:t>La plataforma organiza la información; la confirmación de compatibilidad y disponibilidad corresponde al proveedor.</w:t>
            </w:r>
          </w:p>
        </w:tc>
      </w:tr>
    </w:tbl>
    <w:p>
      <w:pPr>
        <w:spacing w:after="0"/>
      </w:pPr>
    </w:p>
    <w:p>
      <w:pPr>
        <w:pStyle w:val="Heading1"/>
      </w:pPr>
      <w:r>
        <w:t>9. Coordinación de venta y despacho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Confirma producto, cantidad y precio final.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Acordar retiro o despacho, costo y plazo.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Indica medios de pago autorizados.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Entrega documento de venta y condiciones de garantía.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Registra cualquier cambio por escrito.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No marques como completada una operación que aún requiere confirmación.</w:t>
      </w:r>
    </w:p>
    <w:p>
      <w:r>
        <w:rPr>
          <w:b/>
        </w:rPr>
        <w:t xml:space="preserve">☐ </w:t>
      </w:r>
      <w:r>
        <w:t>Nombre/código de pieza.</w:t>
      </w:r>
    </w:p>
    <w:p>
      <w:r>
        <w:rPr>
          <w:b/>
        </w:rPr>
        <w:t xml:space="preserve">☐ </w:t>
      </w:r>
      <w:r>
        <w:t>Compatibilidad confirmada.</w:t>
      </w:r>
    </w:p>
    <w:p>
      <w:r>
        <w:rPr>
          <w:b/>
        </w:rPr>
        <w:t xml:space="preserve">☐ </w:t>
      </w:r>
      <w:r>
        <w:t>Cantidad reservada.</w:t>
      </w:r>
    </w:p>
    <w:p>
      <w:r>
        <w:rPr>
          <w:b/>
        </w:rPr>
        <w:t xml:space="preserve">☐ </w:t>
      </w:r>
      <w:r>
        <w:t>Total y costo de despacho.</w:t>
      </w:r>
    </w:p>
    <w:p>
      <w:r>
        <w:rPr>
          <w:b/>
        </w:rPr>
        <w:t xml:space="preserve">☐ </w:t>
      </w:r>
      <w:r>
        <w:t>Dirección y receptor.</w:t>
      </w:r>
    </w:p>
    <w:p>
      <w:r>
        <w:rPr>
          <w:b/>
        </w:rPr>
        <w:t xml:space="preserve">☐ </w:t>
      </w:r>
      <w:r>
        <w:t>Plazo.</w:t>
      </w:r>
    </w:p>
    <w:p>
      <w:r>
        <w:rPr>
          <w:b/>
        </w:rPr>
        <w:t xml:space="preserve">☐ </w:t>
      </w:r>
      <w:r>
        <w:t>Garantía/cambios.</w:t>
      </w:r>
    </w:p>
    <w:p>
      <w:pPr>
        <w:pStyle w:val="Heading1"/>
      </w:pPr>
      <w:r>
        <w:t>10. Mensajes, reclamos y trazabilidad</w:t>
      </w:r>
    </w:p>
    <w:p>
      <w:pPr>
        <w:pStyle w:val="ListBullet"/>
      </w:pPr>
      <w:r>
        <w:t>Responde usando el número de solicitud.</w:t>
      </w:r>
    </w:p>
    <w:p>
      <w:pPr>
        <w:pStyle w:val="ListBullet"/>
      </w:pPr>
      <w:r>
        <w:t>No elimines evidencias de precio, stock o compatibilidad informada.</w:t>
      </w:r>
    </w:p>
    <w:p>
      <w:pPr>
        <w:pStyle w:val="ListBullet"/>
      </w:pPr>
      <w:r>
        <w:t>Ante un error, notifícalo de inmediato y ofrece solución concreta.</w:t>
      </w:r>
    </w:p>
    <w:p>
      <w:pPr>
        <w:pStyle w:val="ListBullet"/>
      </w:pPr>
      <w:r>
        <w:t>Escala a administración fraudes, amenazas o uso indebido.</w:t>
      </w:r>
    </w:p>
    <w:p>
      <w:pPr>
        <w:pStyle w:val="ListBullet"/>
      </w:pPr>
      <w:r>
        <w:t>Protege datos personales y comerciales.</w:t>
      </w:r>
    </w:p>
    <w:p>
      <w:pPr>
        <w:pStyle w:val="Heading1"/>
      </w:pPr>
      <w:r>
        <w:t>11. Suscripción y pagos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Consulta estado y fecha en “Mi suscripción”.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Si corresponde, abre “Notificar transferencia”.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Verifica monto y cuenta receptora mostrados.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Realiza la transferencia y conserva el comprobante.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Informa los datos solicitados una sola vez.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Espera revisión y comprueba la nueva vigencia.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164E75"/>
              </w:rPr>
              <w:t>No confundir pagos</w:t>
            </w:r>
          </w:p>
          <w:p>
            <w:pPr>
              <w:spacing w:after="0"/>
            </w:pPr>
            <w:r>
              <w:t>El pago de suscripción a la plataforma es distinto de los pagos comerciales de clientes por repuestos. Mantén registros separados.</w:t>
            </w:r>
          </w:p>
        </w:tc>
      </w:tr>
    </w:tbl>
    <w:p>
      <w:pPr>
        <w:spacing w:after="0"/>
      </w:pPr>
    </w:p>
    <w:p>
      <w:pPr>
        <w:pStyle w:val="Heading1"/>
      </w:pPr>
      <w:r>
        <w:t>12. Rutina, seguridad y soporte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Frecuencia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Tarea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Diaria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Oportunidades, solicitudes directas, mensajes y stock crítico.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Semanal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Precios, catálogo, fotos y solicitudes antiguas.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Mensual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Perfil, marcas, documentos, suscripción y productos inactivos.</w:t>
            </w:r>
          </w:p>
        </w:tc>
      </w:tr>
    </w:tbl>
    <w:p>
      <w:pPr>
        <w:spacing w:after="0"/>
      </w:pPr>
    </w:p>
    <w:p>
      <w:pPr>
        <w:pStyle w:val="Heading2"/>
      </w:pPr>
      <w:r>
        <w:t>Seguridad</w:t>
      </w:r>
    </w:p>
    <w:p>
      <w:pPr>
        <w:pStyle w:val="ListBullet"/>
      </w:pPr>
      <w:r>
        <w:t>No compartas contraseña.</w:t>
      </w:r>
    </w:p>
    <w:p>
      <w:pPr>
        <w:pStyle w:val="ListBullet"/>
      </w:pPr>
      <w:r>
        <w:t>No abras comprobantes o enlaces sospechosos sin verificar.</w:t>
      </w:r>
    </w:p>
    <w:p>
      <w:pPr>
        <w:pStyle w:val="ListBullet"/>
      </w:pPr>
      <w:r>
        <w:t>No publiques datos bancarios en el catálogo.</w:t>
      </w:r>
    </w:p>
    <w:p>
      <w:pPr>
        <w:pStyle w:val="ListBullet"/>
      </w:pPr>
      <w:r>
        <w:t>Cierra sesión en equipos compartidos.</w:t>
      </w:r>
    </w:p>
    <w:p>
      <w:pPr>
        <w:pStyle w:val="ListBullet"/>
      </w:pPr>
      <w:r>
        <w:t>Contacta administración ante accesos no reconocidos.</w:t>
      </w:r>
    </w:p>
    <w:p>
      <w:pPr>
        <w:pStyle w:val="Heading2"/>
      </w:pPr>
      <w:r>
        <w:t>Cómo pedir soporte</w:t>
      </w:r>
    </w:p>
    <w:p>
      <w:r>
        <w:rPr>
          <w:b/>
        </w:rPr>
        <w:t xml:space="preserve">☐ </w:t>
      </w:r>
      <w:r>
        <w:t>Correo de la cuenta y nombre del proveedor.</w:t>
      </w:r>
    </w:p>
    <w:p>
      <w:r>
        <w:rPr>
          <w:b/>
        </w:rPr>
        <w:t xml:space="preserve">☐ </w:t>
      </w:r>
      <w:r>
        <w:t>ID de repuesto/solicitud/respuesta.</w:t>
      </w:r>
    </w:p>
    <w:p>
      <w:r>
        <w:rPr>
          <w:b/>
        </w:rPr>
        <w:t xml:space="preserve">☐ </w:t>
      </w:r>
      <w:r>
        <w:t>Fecha y hora.</w:t>
      </w:r>
    </w:p>
    <w:p>
      <w:r>
        <w:rPr>
          <w:b/>
        </w:rPr>
        <w:t xml:space="preserve">☐ </w:t>
      </w:r>
      <w:r>
        <w:t>Pasos realizados.</w:t>
      </w:r>
    </w:p>
    <w:p>
      <w:r>
        <w:rPr>
          <w:b/>
        </w:rPr>
        <w:t xml:space="preserve">☐ </w:t>
      </w:r>
      <w:r>
        <w:t>Mensaje de error exacto.</w:t>
      </w:r>
    </w:p>
    <w:p>
      <w:r>
        <w:rPr>
          <w:b/>
        </w:rPr>
        <w:t xml:space="preserve">☐ </w:t>
      </w:r>
      <w:r>
        <w:t>Captura sin claves ni datos bancarios.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48B"/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64748B"/>
        <w:sz w:val="16"/>
      </w:rPr>
      <w:t>MECÁNICOS LOS LAGOS  ·  MANUAL PROVEEDORES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20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11827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Proveedores Mecanicos Los Lagos</dc:title>
  <dc:subject>Mecánicos Los Lagos</dc:subject>
  <dc:creator>Mecánicos Los Lagos</dc:creator>
  <cp:keywords>manual, capacitación, automotriz, Los Lagos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